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8190D" w14:textId="76A5C4B6" w:rsidR="006F4932" w:rsidRPr="0065475A" w:rsidRDefault="006F4932" w:rsidP="00122E91">
      <w:pPr>
        <w:pStyle w:val="NormalWeb"/>
        <w:rPr>
          <w:b/>
          <w:bCs/>
          <w:sz w:val="28"/>
          <w:szCs w:val="28"/>
        </w:rPr>
      </w:pPr>
      <w:r w:rsidRPr="0065475A">
        <w:rPr>
          <w:b/>
          <w:bCs/>
          <w:sz w:val="28"/>
          <w:szCs w:val="28"/>
        </w:rPr>
        <w:t>The Slovene Home Guard and International Criminal Law: Rejecting Collective Guilt</w:t>
      </w:r>
    </w:p>
    <w:p w14:paraId="3824B71B" w14:textId="31C79C22" w:rsidR="006F4932" w:rsidRDefault="006F4932" w:rsidP="00122E91">
      <w:pPr>
        <w:pStyle w:val="NormalWeb"/>
        <w:rPr>
          <w:b/>
          <w:bCs/>
          <w:sz w:val="28"/>
          <w:szCs w:val="28"/>
        </w:rPr>
      </w:pPr>
      <w:r w:rsidRPr="0065475A">
        <w:rPr>
          <w:b/>
          <w:bCs/>
          <w:sz w:val="28"/>
          <w:szCs w:val="28"/>
        </w:rPr>
        <w:t>Maria Velikonja</w:t>
      </w:r>
    </w:p>
    <w:p w14:paraId="1CC4925E" w14:textId="22AFF529" w:rsidR="003A5774" w:rsidRDefault="003A5774" w:rsidP="00122E91">
      <w:pPr>
        <w:pStyle w:val="NormalWeb"/>
        <w:rPr>
          <w:b/>
          <w:bCs/>
          <w:sz w:val="28"/>
          <w:szCs w:val="28"/>
        </w:rPr>
      </w:pPr>
      <w:proofErr w:type="spellStart"/>
      <w:r>
        <w:rPr>
          <w:b/>
          <w:bCs/>
          <w:sz w:val="28"/>
          <w:szCs w:val="28"/>
        </w:rPr>
        <w:t>Planinca</w:t>
      </w:r>
      <w:proofErr w:type="spellEnd"/>
      <w:r>
        <w:rPr>
          <w:b/>
          <w:bCs/>
          <w:sz w:val="28"/>
          <w:szCs w:val="28"/>
        </w:rPr>
        <w:t xml:space="preserve"> Press</w:t>
      </w:r>
    </w:p>
    <w:p w14:paraId="30CEAC5A" w14:textId="6A617965" w:rsidR="003A5774" w:rsidRDefault="003A5774" w:rsidP="00122E91">
      <w:pPr>
        <w:pStyle w:val="NormalWeb"/>
        <w:rPr>
          <w:b/>
          <w:bCs/>
          <w:sz w:val="28"/>
          <w:szCs w:val="28"/>
        </w:rPr>
      </w:pPr>
      <w:hyperlink r:id="rId7" w:history="1">
        <w:r w:rsidRPr="0078143C">
          <w:rPr>
            <w:rStyle w:val="Hyperlink"/>
            <w:b/>
            <w:bCs/>
            <w:sz w:val="28"/>
            <w:szCs w:val="28"/>
          </w:rPr>
          <w:t>www.planincapress.com</w:t>
        </w:r>
      </w:hyperlink>
    </w:p>
    <w:p w14:paraId="3E0ACCB2" w14:textId="4DECFA2C" w:rsidR="003A5774" w:rsidRDefault="003A5774" w:rsidP="00122E91">
      <w:pPr>
        <w:pStyle w:val="NormalWeb"/>
        <w:rPr>
          <w:b/>
          <w:bCs/>
          <w:sz w:val="28"/>
          <w:szCs w:val="28"/>
        </w:rPr>
      </w:pPr>
      <w:r>
        <w:rPr>
          <w:b/>
          <w:bCs/>
          <w:sz w:val="28"/>
          <w:szCs w:val="28"/>
        </w:rPr>
        <w:t>Legal Concept Paper 2</w:t>
      </w:r>
    </w:p>
    <w:p w14:paraId="7D378C3C" w14:textId="3F5B61E2" w:rsidR="003A5774" w:rsidRDefault="003A5774" w:rsidP="00122E91">
      <w:pPr>
        <w:pStyle w:val="NormalWeb"/>
        <w:rPr>
          <w:b/>
          <w:bCs/>
          <w:sz w:val="28"/>
          <w:szCs w:val="28"/>
        </w:rPr>
      </w:pPr>
      <w:r>
        <w:rPr>
          <w:b/>
          <w:bCs/>
          <w:sz w:val="28"/>
          <w:szCs w:val="28"/>
        </w:rPr>
        <w:t>July 2026</w:t>
      </w:r>
    </w:p>
    <w:p w14:paraId="7DA15F60" w14:textId="6C8B51DE" w:rsidR="003A5774" w:rsidRDefault="003A5774" w:rsidP="00122E91">
      <w:pPr>
        <w:pStyle w:val="NormalWeb"/>
        <w:rPr>
          <w:b/>
          <w:bCs/>
          <w:sz w:val="28"/>
          <w:szCs w:val="28"/>
        </w:rPr>
      </w:pPr>
      <w:r>
        <w:rPr>
          <w:b/>
          <w:bCs/>
          <w:sz w:val="28"/>
          <w:szCs w:val="28"/>
        </w:rPr>
        <w:t>Version 1.0</w:t>
      </w:r>
    </w:p>
    <w:p w14:paraId="5C076CBB" w14:textId="5357D6F4" w:rsidR="003A5774" w:rsidRDefault="003A5774" w:rsidP="00122E91">
      <w:pPr>
        <w:pStyle w:val="NormalWeb"/>
        <w:rPr>
          <w:b/>
          <w:bCs/>
          <w:sz w:val="28"/>
          <w:szCs w:val="28"/>
        </w:rPr>
      </w:pPr>
      <w:r>
        <w:rPr>
          <w:b/>
          <w:bCs/>
          <w:sz w:val="28"/>
          <w:szCs w:val="28"/>
        </w:rPr>
        <w:t>Suggested citation</w:t>
      </w:r>
    </w:p>
    <w:p w14:paraId="4661B5BC" w14:textId="7A1F41E6" w:rsidR="003A5774" w:rsidRPr="0065475A" w:rsidRDefault="003A5774" w:rsidP="00122E91">
      <w:pPr>
        <w:pStyle w:val="NormalWeb"/>
        <w:rPr>
          <w:b/>
          <w:bCs/>
          <w:sz w:val="28"/>
          <w:szCs w:val="28"/>
        </w:rPr>
      </w:pPr>
      <w:r>
        <w:t xml:space="preserve">Maria Velikonja, </w:t>
      </w:r>
      <w:r>
        <w:rPr>
          <w:rStyle w:val="Emphasis"/>
        </w:rPr>
        <w:t>The Slovene Home Guard and International Criminal Law: Rejecting collective Guilt</w:t>
      </w:r>
      <w:r>
        <w:rPr>
          <w:rStyle w:val="Emphasis"/>
        </w:rPr>
        <w:t>,</w:t>
      </w:r>
      <w:r>
        <w:t xml:space="preserve"> Legal Concept Paper No. 2, </w:t>
      </w:r>
      <w:proofErr w:type="spellStart"/>
      <w:r>
        <w:t>Planinca</w:t>
      </w:r>
      <w:proofErr w:type="spellEnd"/>
      <w:r>
        <w:t xml:space="preserve"> Press (2026).</w:t>
      </w:r>
    </w:p>
    <w:p w14:paraId="056382CE" w14:textId="1B6BC6D4" w:rsidR="008252DB" w:rsidRDefault="00122E91" w:rsidP="00122E91">
      <w:pPr>
        <w:pStyle w:val="NormalWeb"/>
        <w:rPr>
          <w:b/>
          <w:bCs/>
          <w:sz w:val="28"/>
          <w:szCs w:val="28"/>
        </w:rPr>
      </w:pPr>
      <w:r w:rsidRPr="0065475A">
        <w:rPr>
          <w:b/>
          <w:bCs/>
          <w:sz w:val="28"/>
          <w:szCs w:val="28"/>
        </w:rPr>
        <w:br/>
      </w:r>
      <w:r w:rsidR="008252DB">
        <w:rPr>
          <w:b/>
          <w:bCs/>
          <w:sz w:val="28"/>
          <w:szCs w:val="28"/>
        </w:rPr>
        <w:t>Abstract</w:t>
      </w:r>
    </w:p>
    <w:p w14:paraId="07C7416D" w14:textId="2CB3B640" w:rsidR="006F4932" w:rsidRDefault="006F4932" w:rsidP="00122E91">
      <w:pPr>
        <w:pStyle w:val="NormalWeb"/>
        <w:rPr>
          <w:b/>
          <w:bCs/>
          <w:sz w:val="28"/>
          <w:szCs w:val="28"/>
        </w:rPr>
      </w:pPr>
      <w:r w:rsidRPr="0065475A">
        <w:rPr>
          <w:b/>
          <w:bCs/>
          <w:sz w:val="28"/>
          <w:szCs w:val="28"/>
        </w:rPr>
        <w:t>This article examines whether, under contemporary principles of international criminal law, membership in the Slovene Home Guard or participation in military operations against the Partisans would, without proof of individual criminal conduct, constitute a basis for criminal liability. It argues that the answer is no. The principles developed at Nuremberg and consistently applied by modern international tribunals reject collective guilt and require proof of individual criminal responsibility.</w:t>
      </w:r>
    </w:p>
    <w:p w14:paraId="6A507A00" w14:textId="2138A50A" w:rsidR="008252DB" w:rsidRPr="0065475A" w:rsidRDefault="008252DB" w:rsidP="00122E91">
      <w:pPr>
        <w:pStyle w:val="NormalWeb"/>
        <w:rPr>
          <w:b/>
          <w:bCs/>
          <w:sz w:val="28"/>
          <w:szCs w:val="28"/>
        </w:rPr>
      </w:pPr>
      <w:r>
        <w:rPr>
          <w:b/>
          <w:bCs/>
          <w:sz w:val="28"/>
          <w:szCs w:val="28"/>
        </w:rPr>
        <w:t>__________________________________________________________________</w:t>
      </w:r>
    </w:p>
    <w:p w14:paraId="6F76917C" w14:textId="79BC12A6" w:rsidR="006F4932" w:rsidRPr="0065475A" w:rsidRDefault="00122E91" w:rsidP="00122E91">
      <w:pPr>
        <w:pStyle w:val="NormalWeb"/>
        <w:rPr>
          <w:sz w:val="28"/>
          <w:szCs w:val="28"/>
        </w:rPr>
      </w:pPr>
      <w:r w:rsidRPr="0065475A">
        <w:rPr>
          <w:sz w:val="28"/>
          <w:szCs w:val="28"/>
        </w:rPr>
        <w:t>More than eighty years after the end of the Second World War, Slovenians continue to debate whether members of the Slovene Home Guard (</w:t>
      </w:r>
      <w:proofErr w:type="spellStart"/>
      <w:r w:rsidRPr="0065475A">
        <w:rPr>
          <w:sz w:val="28"/>
          <w:szCs w:val="28"/>
        </w:rPr>
        <w:t>Domobranci</w:t>
      </w:r>
      <w:proofErr w:type="spellEnd"/>
      <w:r w:rsidRPr="0065475A">
        <w:rPr>
          <w:sz w:val="28"/>
          <w:szCs w:val="28"/>
        </w:rPr>
        <w:t xml:space="preserve">) committed "crimes" simply because they fought against the communist-led Partisans. </w:t>
      </w:r>
    </w:p>
    <w:p w14:paraId="4DDEC12F" w14:textId="77777777" w:rsidR="00EC74E5" w:rsidRPr="0065475A" w:rsidRDefault="00122E91" w:rsidP="00122E91">
      <w:pPr>
        <w:pStyle w:val="NormalWeb"/>
        <w:rPr>
          <w:sz w:val="28"/>
          <w:szCs w:val="28"/>
        </w:rPr>
      </w:pPr>
      <w:r w:rsidRPr="0065475A">
        <w:rPr>
          <w:sz w:val="28"/>
          <w:szCs w:val="28"/>
        </w:rPr>
        <w:br/>
        <w:t xml:space="preserve">The answer under modern international criminal law is clear. Neither membership in a military organization nor participation in combat, standing alone, constitutes a war crime. From the Hague Regulations of 1907 through the Nuremberg Tribunal, </w:t>
      </w:r>
      <w:r w:rsidRPr="0065475A">
        <w:rPr>
          <w:sz w:val="28"/>
          <w:szCs w:val="28"/>
        </w:rPr>
        <w:lastRenderedPageBreak/>
        <w:t>the Geneva Conventions, the International Criminal Tribunal for the former Yugoslavia (ICTY), and the Rome Statute of the International Criminal Court, one principle has remained remarkably consistent: criminal responsibility is individual, not collective.</w:t>
      </w:r>
      <w:r w:rsidRPr="0065475A">
        <w:rPr>
          <w:sz w:val="28"/>
          <w:szCs w:val="28"/>
        </w:rPr>
        <w:br/>
      </w:r>
    </w:p>
    <w:p w14:paraId="5D743561" w14:textId="73F53F3B" w:rsidR="006F4932" w:rsidRPr="0065475A" w:rsidRDefault="00122E91" w:rsidP="00122E91">
      <w:pPr>
        <w:pStyle w:val="NormalWeb"/>
        <w:rPr>
          <w:sz w:val="28"/>
          <w:szCs w:val="28"/>
        </w:rPr>
      </w:pPr>
      <w:r w:rsidRPr="0065475A">
        <w:rPr>
          <w:sz w:val="28"/>
          <w:szCs w:val="28"/>
        </w:rPr>
        <w:t>During my service as an Expert-on-Mission</w:t>
      </w:r>
      <w:r w:rsidR="00EC74E5" w:rsidRPr="0065475A">
        <w:rPr>
          <w:sz w:val="28"/>
          <w:szCs w:val="28"/>
        </w:rPr>
        <w:t xml:space="preserve"> at the ICTY</w:t>
      </w:r>
      <w:r w:rsidRPr="0065475A">
        <w:rPr>
          <w:sz w:val="28"/>
          <w:szCs w:val="28"/>
        </w:rPr>
        <w:t xml:space="preserve">, </w:t>
      </w:r>
      <w:r w:rsidR="00EC74E5" w:rsidRPr="0065475A">
        <w:rPr>
          <w:sz w:val="28"/>
          <w:szCs w:val="28"/>
        </w:rPr>
        <w:t xml:space="preserve">where I served as an attorney and investigator, </w:t>
      </w:r>
      <w:r w:rsidRPr="0065475A">
        <w:rPr>
          <w:sz w:val="28"/>
          <w:szCs w:val="28"/>
        </w:rPr>
        <w:t>I participated in investigations involving allegations of grave breaches of the Geneva Conventions, violations of the laws or customs of war, crimes against humanity, and genocide committed during the conflicts in the former Yugoslavia. The Tribunal possessed primacy over the national courts of Bosnia and Herzegovina, Croatia, and Serbia and could require domestic proceedings to be transferred to The Hague. Throughout those investigations, prosecution</w:t>
      </w:r>
      <w:r w:rsidR="00E4329B">
        <w:rPr>
          <w:sz w:val="28"/>
          <w:szCs w:val="28"/>
        </w:rPr>
        <w:t>s applied the same rule</w:t>
      </w:r>
      <w:r w:rsidRPr="0065475A">
        <w:rPr>
          <w:sz w:val="28"/>
          <w:szCs w:val="28"/>
        </w:rPr>
        <w:t>: guilt was personal, never collective. Membership in an army was not a crime; criminal liability depended upon proof of an individual's conduct.</w:t>
      </w:r>
    </w:p>
    <w:p w14:paraId="3BDF7BC2" w14:textId="5E91A83E" w:rsidR="006F4932" w:rsidRPr="0065475A" w:rsidRDefault="00122E91" w:rsidP="00122E91">
      <w:pPr>
        <w:pStyle w:val="NormalWeb"/>
        <w:rPr>
          <w:sz w:val="28"/>
          <w:szCs w:val="28"/>
        </w:rPr>
      </w:pPr>
      <w:r w:rsidRPr="0065475A">
        <w:rPr>
          <w:sz w:val="28"/>
          <w:szCs w:val="28"/>
        </w:rPr>
        <w:br/>
        <w:t>Between 1994 and 1997, I reviewed investigative files involving soldiers from every major army in the conflict. Some units</w:t>
      </w:r>
      <w:r w:rsidR="00EC74E5" w:rsidRPr="0065475A">
        <w:rPr>
          <w:sz w:val="28"/>
          <w:szCs w:val="28"/>
        </w:rPr>
        <w:t>, including paramilitary groups,</w:t>
      </w:r>
      <w:r w:rsidRPr="0065475A">
        <w:rPr>
          <w:sz w:val="28"/>
          <w:szCs w:val="28"/>
        </w:rPr>
        <w:t xml:space="preserve"> had committed horrific crimes; others had not. </w:t>
      </w:r>
      <w:r w:rsidR="0065475A">
        <w:rPr>
          <w:sz w:val="28"/>
          <w:szCs w:val="28"/>
        </w:rPr>
        <w:t xml:space="preserve">During the Tribunal’s existence, prosecutors and investigators </w:t>
      </w:r>
      <w:r w:rsidR="00215272">
        <w:rPr>
          <w:sz w:val="28"/>
          <w:szCs w:val="28"/>
        </w:rPr>
        <w:t>examined</w:t>
      </w:r>
      <w:r w:rsidR="0065475A">
        <w:rPr>
          <w:sz w:val="28"/>
          <w:szCs w:val="28"/>
        </w:rPr>
        <w:t xml:space="preserve"> thousands of allegations involving every major military force in the former Yugoslavia. </w:t>
      </w:r>
      <w:r w:rsidRPr="0065475A">
        <w:rPr>
          <w:sz w:val="28"/>
          <w:szCs w:val="28"/>
        </w:rPr>
        <w:t xml:space="preserve">Yet we never began an investigation by asking what army a suspect belonged to. We began by asking whether there was credible evidence that the individual had personally committed, ordered, assisted, or knowingly failed to prevent internationally recognized crimes. That distinction protected not only the accused but also the integrity of international criminal law. Political labels could never substitute for </w:t>
      </w:r>
      <w:r w:rsidR="00215272">
        <w:rPr>
          <w:sz w:val="28"/>
          <w:szCs w:val="28"/>
        </w:rPr>
        <w:t>proof</w:t>
      </w:r>
      <w:r w:rsidRPr="0065475A">
        <w:rPr>
          <w:sz w:val="28"/>
          <w:szCs w:val="28"/>
        </w:rPr>
        <w:t>.</w:t>
      </w:r>
      <w:r w:rsidR="0065475A">
        <w:rPr>
          <w:sz w:val="28"/>
          <w:szCs w:val="28"/>
        </w:rPr>
        <w:t xml:space="preserve"> Those same legal standards governed every prosecution brought before the Tribunal, regardless of the nationality or military affiliation of the accused.</w:t>
      </w:r>
    </w:p>
    <w:p w14:paraId="73F64E62" w14:textId="77777777" w:rsidR="006F4932" w:rsidRPr="0065475A" w:rsidRDefault="00122E91" w:rsidP="00122E91">
      <w:pPr>
        <w:pStyle w:val="NormalWeb"/>
        <w:rPr>
          <w:sz w:val="28"/>
          <w:szCs w:val="28"/>
        </w:rPr>
      </w:pPr>
      <w:r w:rsidRPr="0065475A">
        <w:rPr>
          <w:sz w:val="28"/>
          <w:szCs w:val="28"/>
        </w:rPr>
        <w:br/>
        <w:t>Although the ICTY exercised jurisdiction only over crimes committed after 1991, the legal principles it applied were not new. The Tribunal interpreted and applied rules derived from the Hague Regulations of 1907, the Charter and Judgment of the International Military Tribunal at Nuremberg, the Geneva Conventions of 1949, customary international law, and decades of subsequent jurisprudence. The ICTY therefore did not create the doctrine of individual criminal responsibility; it reaffirmed one of the fundamental principles of international criminal law.</w:t>
      </w:r>
    </w:p>
    <w:p w14:paraId="26D71A07" w14:textId="77777777" w:rsidR="006F4932" w:rsidRPr="0065475A" w:rsidRDefault="00122E91" w:rsidP="00122E91">
      <w:pPr>
        <w:pStyle w:val="NormalWeb"/>
        <w:rPr>
          <w:sz w:val="28"/>
          <w:szCs w:val="28"/>
        </w:rPr>
      </w:pPr>
      <w:r w:rsidRPr="0065475A">
        <w:rPr>
          <w:sz w:val="28"/>
          <w:szCs w:val="28"/>
        </w:rPr>
        <w:lastRenderedPageBreak/>
        <w:br/>
        <w:t>International humanitarian law also distinguishes between the legality of resorting to armed force (jus ad bellum) and the legality of conduct during armed conflict (jus in bello). International criminal tribunals generally do not prosecute soldiers merely because they fought in a particular conflict or served a particular government. Rather, they prosecute violations of the laws and customs of war committed during that conflict. Consequently, the political legitimacy of a military force and the criminal liability of its individual members are distinct legal questions.</w:t>
      </w:r>
    </w:p>
    <w:p w14:paraId="3275985F" w14:textId="0BEEB082" w:rsidR="006F4932" w:rsidRPr="0065475A" w:rsidRDefault="00122E91" w:rsidP="00122E91">
      <w:pPr>
        <w:pStyle w:val="NormalWeb"/>
        <w:rPr>
          <w:sz w:val="28"/>
          <w:szCs w:val="28"/>
        </w:rPr>
      </w:pPr>
      <w:r w:rsidRPr="0065475A">
        <w:rPr>
          <w:sz w:val="28"/>
          <w:szCs w:val="28"/>
        </w:rPr>
        <w:br/>
        <w:t>This distinction has existed for more than a century. The Hague Regulations of 1907 recognized that militias and volunteer corps meeting specified conditions—including responsible command, a fixed distinctive emblem recognizable at a distance, openly carrying arms, and conducting operations in accordance with the laws and customs of war—possessed the rights and duties of belligerents.</w:t>
      </w:r>
      <w:r w:rsidR="00036C09">
        <w:rPr>
          <w:rStyle w:val="FootnoteReference"/>
          <w:sz w:val="28"/>
          <w:szCs w:val="28"/>
        </w:rPr>
        <w:footnoteReference w:id="1"/>
      </w:r>
      <w:r w:rsidRPr="0065475A">
        <w:rPr>
          <w:sz w:val="28"/>
          <w:szCs w:val="28"/>
        </w:rPr>
        <w:t xml:space="preserve"> Article 43 further </w:t>
      </w:r>
      <w:r w:rsidR="00EC74E5" w:rsidRPr="0065475A">
        <w:rPr>
          <w:sz w:val="28"/>
          <w:szCs w:val="28"/>
        </w:rPr>
        <w:t>required an</w:t>
      </w:r>
      <w:r w:rsidRPr="0065475A">
        <w:rPr>
          <w:sz w:val="28"/>
          <w:szCs w:val="28"/>
        </w:rPr>
        <w:t xml:space="preserve"> occupying power to </w:t>
      </w:r>
      <w:r w:rsidR="00EC74E5" w:rsidRPr="0065475A">
        <w:rPr>
          <w:sz w:val="28"/>
          <w:szCs w:val="28"/>
        </w:rPr>
        <w:t>“ …</w:t>
      </w:r>
      <w:r w:rsidRPr="0065475A">
        <w:rPr>
          <w:sz w:val="28"/>
          <w:szCs w:val="28"/>
        </w:rPr>
        <w:t>restore and ensure</w:t>
      </w:r>
      <w:r w:rsidR="00EC74E5" w:rsidRPr="0065475A">
        <w:rPr>
          <w:sz w:val="28"/>
          <w:szCs w:val="28"/>
        </w:rPr>
        <w:t>, as far as possible,</w:t>
      </w:r>
      <w:r w:rsidRPr="0065475A">
        <w:rPr>
          <w:sz w:val="28"/>
          <w:szCs w:val="28"/>
        </w:rPr>
        <w:t xml:space="preserve"> public order and civil life </w:t>
      </w:r>
      <w:r w:rsidR="00E4329B">
        <w:rPr>
          <w:sz w:val="28"/>
          <w:szCs w:val="28"/>
        </w:rPr>
        <w:t>.”</w:t>
      </w:r>
      <w:r w:rsidRPr="0065475A">
        <w:rPr>
          <w:sz w:val="28"/>
          <w:szCs w:val="28"/>
        </w:rPr>
        <w:t xml:space="preserve"> These provisions regulated armed conflict; they did not criminalize participation in it.</w:t>
      </w:r>
      <w:r w:rsidR="00036C09">
        <w:rPr>
          <w:rStyle w:val="FootnoteReference"/>
          <w:sz w:val="28"/>
          <w:szCs w:val="28"/>
        </w:rPr>
        <w:footnoteReference w:id="2"/>
      </w:r>
    </w:p>
    <w:p w14:paraId="4C5DB6EF" w14:textId="5B1D567E" w:rsidR="006F4932" w:rsidRPr="0065475A" w:rsidRDefault="00122E91" w:rsidP="00122E91">
      <w:pPr>
        <w:pStyle w:val="NormalWeb"/>
        <w:rPr>
          <w:sz w:val="28"/>
          <w:szCs w:val="28"/>
        </w:rPr>
      </w:pPr>
      <w:r w:rsidRPr="0065475A">
        <w:rPr>
          <w:sz w:val="28"/>
          <w:szCs w:val="28"/>
        </w:rPr>
        <w:br/>
        <w:t xml:space="preserve">Article 4 of the Third Geneva Convention </w:t>
      </w:r>
      <w:r w:rsidR="00E4329B">
        <w:rPr>
          <w:sz w:val="28"/>
          <w:szCs w:val="28"/>
        </w:rPr>
        <w:t xml:space="preserve">also </w:t>
      </w:r>
      <w:r w:rsidRPr="0065475A">
        <w:rPr>
          <w:sz w:val="28"/>
          <w:szCs w:val="28"/>
        </w:rPr>
        <w:t>recognizes prisoner-of-war status for members of organized armed forces who satisfy the Convention's requirements.</w:t>
      </w:r>
      <w:r w:rsidR="00036C09">
        <w:rPr>
          <w:rStyle w:val="FootnoteReference"/>
          <w:sz w:val="28"/>
          <w:szCs w:val="28"/>
        </w:rPr>
        <w:footnoteReference w:id="3"/>
      </w:r>
      <w:r w:rsidRPr="0065475A">
        <w:rPr>
          <w:sz w:val="28"/>
          <w:szCs w:val="28"/>
        </w:rPr>
        <w:t>Again, the Convention does not treat membership in an organized military force as a crime.</w:t>
      </w:r>
    </w:p>
    <w:p w14:paraId="23F39414" w14:textId="071063DC" w:rsidR="006F4932" w:rsidRPr="0065475A" w:rsidRDefault="00122E91" w:rsidP="00122E91">
      <w:pPr>
        <w:pStyle w:val="NormalWeb"/>
        <w:rPr>
          <w:sz w:val="28"/>
          <w:szCs w:val="28"/>
        </w:rPr>
      </w:pPr>
      <w:r w:rsidRPr="0065475A">
        <w:rPr>
          <w:sz w:val="28"/>
          <w:szCs w:val="28"/>
        </w:rPr>
        <w:br/>
        <w:t xml:space="preserve">The Charter of the International Military Tribunal at Nuremberg </w:t>
      </w:r>
      <w:proofErr w:type="gramStart"/>
      <w:r w:rsidR="00E4329B">
        <w:rPr>
          <w:sz w:val="28"/>
          <w:szCs w:val="28"/>
        </w:rPr>
        <w:t>similarly</w:t>
      </w:r>
      <w:proofErr w:type="gramEnd"/>
      <w:r w:rsidRPr="0065475A">
        <w:rPr>
          <w:sz w:val="28"/>
          <w:szCs w:val="28"/>
        </w:rPr>
        <w:t xml:space="preserve"> distinguished lawful military service from criminal conduct. Article 6(b) defined war crimes as "violations of the laws or customs of war," not service in a military organization.</w:t>
      </w:r>
      <w:r w:rsidR="00036C09">
        <w:rPr>
          <w:rStyle w:val="FootnoteReference"/>
          <w:sz w:val="28"/>
          <w:szCs w:val="28"/>
        </w:rPr>
        <w:footnoteReference w:id="4"/>
      </w:r>
      <w:r w:rsidR="00036C09">
        <w:rPr>
          <w:sz w:val="28"/>
          <w:szCs w:val="28"/>
        </w:rPr>
        <w:t xml:space="preserve"> </w:t>
      </w:r>
      <w:r w:rsidRPr="0065475A">
        <w:rPr>
          <w:sz w:val="28"/>
          <w:szCs w:val="28"/>
        </w:rPr>
        <w:t xml:space="preserve">Former members of the German Wehrmacht were generally not prosecuted merely because they had served in the German armed forces. </w:t>
      </w:r>
      <w:r w:rsidR="00EC74E5" w:rsidRPr="0065475A">
        <w:rPr>
          <w:sz w:val="28"/>
          <w:szCs w:val="28"/>
        </w:rPr>
        <w:t xml:space="preserve">The Wehrmacht itself was never declared a criminal organization by the International </w:t>
      </w:r>
      <w:r w:rsidR="00EC74E5" w:rsidRPr="0065475A">
        <w:rPr>
          <w:sz w:val="28"/>
          <w:szCs w:val="28"/>
        </w:rPr>
        <w:lastRenderedPageBreak/>
        <w:t>Military Tribunal.</w:t>
      </w:r>
      <w:r w:rsidR="00036C09">
        <w:rPr>
          <w:rStyle w:val="FootnoteReference"/>
          <w:sz w:val="28"/>
          <w:szCs w:val="28"/>
        </w:rPr>
        <w:footnoteReference w:id="5"/>
      </w:r>
      <w:r w:rsidR="00EC74E5" w:rsidRPr="0065475A">
        <w:rPr>
          <w:sz w:val="28"/>
          <w:szCs w:val="28"/>
        </w:rPr>
        <w:t xml:space="preserve"> </w:t>
      </w:r>
      <w:r w:rsidRPr="0065475A">
        <w:rPr>
          <w:sz w:val="28"/>
          <w:szCs w:val="28"/>
        </w:rPr>
        <w:t>By contrast, several organizations, including the SS, were declared criminal after extensive judicial proceedings established that they had been organized and used for criminal purposes.</w:t>
      </w:r>
      <w:r w:rsidR="00036C09">
        <w:rPr>
          <w:rStyle w:val="FootnoteReference"/>
          <w:sz w:val="28"/>
          <w:szCs w:val="28"/>
        </w:rPr>
        <w:footnoteReference w:id="6"/>
      </w:r>
    </w:p>
    <w:p w14:paraId="54E4D376" w14:textId="77777777" w:rsidR="00991041" w:rsidRPr="0065475A" w:rsidRDefault="00991041" w:rsidP="00122E91">
      <w:pPr>
        <w:pStyle w:val="NormalWeb"/>
        <w:rPr>
          <w:sz w:val="28"/>
          <w:szCs w:val="28"/>
        </w:rPr>
      </w:pPr>
      <w:r w:rsidRPr="0065475A">
        <w:rPr>
          <w:sz w:val="28"/>
          <w:szCs w:val="28"/>
        </w:rPr>
        <w:t>The Slovene Home Guard, by contrast, was never the subject of any international judicial determination regarding its status.</w:t>
      </w:r>
    </w:p>
    <w:p w14:paraId="41D165E8" w14:textId="7F67DAFB" w:rsidR="006F4932" w:rsidRPr="0065475A" w:rsidRDefault="00122E91" w:rsidP="00122E91">
      <w:pPr>
        <w:pStyle w:val="NormalWeb"/>
        <w:rPr>
          <w:sz w:val="28"/>
          <w:szCs w:val="28"/>
        </w:rPr>
      </w:pPr>
      <w:r w:rsidRPr="0065475A">
        <w:rPr>
          <w:sz w:val="28"/>
          <w:szCs w:val="28"/>
        </w:rPr>
        <w:br/>
        <w:t xml:space="preserve">The distinction is </w:t>
      </w:r>
      <w:r w:rsidR="00215272">
        <w:rPr>
          <w:sz w:val="28"/>
          <w:szCs w:val="28"/>
        </w:rPr>
        <w:t xml:space="preserve">legally </w:t>
      </w:r>
      <w:r w:rsidRPr="0065475A">
        <w:rPr>
          <w:sz w:val="28"/>
          <w:szCs w:val="28"/>
        </w:rPr>
        <w:t>significant. The Tribunal did not conclude that military service itself constituted a crime. Rather, criminal liability depended upon proof of individual criminal conduct or, in the limited case of organizations declared criminal by judicial determination, proof that a defendant knowingly participated in the organization's criminal purposes. No comparable international judicial determination was ever made regarding the Slovene Home Guard.</w:t>
      </w:r>
    </w:p>
    <w:p w14:paraId="2D5243DB" w14:textId="3EF26845" w:rsidR="006F4932" w:rsidRPr="0065475A" w:rsidRDefault="00122E91" w:rsidP="00122E91">
      <w:pPr>
        <w:pStyle w:val="NormalWeb"/>
        <w:rPr>
          <w:sz w:val="28"/>
          <w:szCs w:val="28"/>
        </w:rPr>
      </w:pPr>
      <w:r w:rsidRPr="0065475A">
        <w:rPr>
          <w:sz w:val="28"/>
          <w:szCs w:val="28"/>
        </w:rPr>
        <w:br/>
        <w:t xml:space="preserve">The same principles governed the work of the ICTY. </w:t>
      </w:r>
      <w:r w:rsidR="00215272">
        <w:rPr>
          <w:sz w:val="28"/>
          <w:szCs w:val="28"/>
        </w:rPr>
        <w:t>Although t</w:t>
      </w:r>
      <w:r w:rsidRPr="0065475A">
        <w:rPr>
          <w:sz w:val="28"/>
          <w:szCs w:val="28"/>
        </w:rPr>
        <w:t>he Tribunal prosecuted soldiers from every major military force involved in the conflicts of the 1990s, including the Army of Bosnia and Herzegovina (</w:t>
      </w:r>
      <w:proofErr w:type="spellStart"/>
      <w:r w:rsidRPr="0065475A">
        <w:rPr>
          <w:sz w:val="28"/>
          <w:szCs w:val="28"/>
        </w:rPr>
        <w:t>ARBiH</w:t>
      </w:r>
      <w:proofErr w:type="spellEnd"/>
      <w:r w:rsidRPr="0065475A">
        <w:rPr>
          <w:sz w:val="28"/>
          <w:szCs w:val="28"/>
        </w:rPr>
        <w:t xml:space="preserve">), the Croatian Army (HV), the Army of </w:t>
      </w:r>
      <w:proofErr w:type="spellStart"/>
      <w:r w:rsidRPr="0065475A">
        <w:rPr>
          <w:sz w:val="28"/>
          <w:szCs w:val="28"/>
        </w:rPr>
        <w:t>Republika</w:t>
      </w:r>
      <w:proofErr w:type="spellEnd"/>
      <w:r w:rsidRPr="0065475A">
        <w:rPr>
          <w:sz w:val="28"/>
          <w:szCs w:val="28"/>
        </w:rPr>
        <w:t xml:space="preserve"> Srpska (VRS), and the Yugoslav Army (VJ)</w:t>
      </w:r>
      <w:r w:rsidR="00215272">
        <w:rPr>
          <w:sz w:val="28"/>
          <w:szCs w:val="28"/>
        </w:rPr>
        <w:t>, n</w:t>
      </w:r>
      <w:r w:rsidRPr="0065475A">
        <w:rPr>
          <w:sz w:val="28"/>
          <w:szCs w:val="28"/>
        </w:rPr>
        <w:t>one of those armed forces were placed on trial. Individual soldiers were prosecuted only when the evidence established that they had committed war crimes, crimes against humanity, genocide, or other offenses within the Tribunal's jurisdiction.</w:t>
      </w:r>
    </w:p>
    <w:p w14:paraId="0FC9B8BD" w14:textId="0F84E3C1" w:rsidR="006F4932" w:rsidRPr="0065475A" w:rsidRDefault="00122E91" w:rsidP="00122E91">
      <w:pPr>
        <w:pStyle w:val="NormalWeb"/>
        <w:rPr>
          <w:sz w:val="28"/>
          <w:szCs w:val="28"/>
        </w:rPr>
      </w:pPr>
      <w:r w:rsidRPr="0065475A">
        <w:rPr>
          <w:sz w:val="28"/>
          <w:szCs w:val="28"/>
        </w:rPr>
        <w:br/>
        <w:t xml:space="preserve">Following the Dayton Peace Agreement, the ICTY established the "Rules of the Road" procedure to review proposed war crimes prosecutions before arrests could be made by local authorities. The purpose was to prevent politically motivated prosecutions based solely upon ethnicity, military service, or political affiliation. Before a suspect could be arrested, ICTY </w:t>
      </w:r>
      <w:r w:rsidR="009A5FBF">
        <w:rPr>
          <w:sz w:val="28"/>
          <w:szCs w:val="28"/>
        </w:rPr>
        <w:t>attorneys</w:t>
      </w:r>
      <w:r w:rsidRPr="0065475A">
        <w:rPr>
          <w:sz w:val="28"/>
          <w:szCs w:val="28"/>
        </w:rPr>
        <w:t xml:space="preserve"> first examined the available evidence to determine whether there was a legally sufficient basis to proceed. Mere service in an opposing army was never considered sufficient.</w:t>
      </w:r>
    </w:p>
    <w:p w14:paraId="2BEB414F" w14:textId="00E2AB46" w:rsidR="006F4932" w:rsidRPr="0065475A" w:rsidRDefault="00122E91" w:rsidP="00122E91">
      <w:pPr>
        <w:pStyle w:val="NormalWeb"/>
        <w:rPr>
          <w:sz w:val="28"/>
          <w:szCs w:val="28"/>
        </w:rPr>
      </w:pPr>
      <w:r w:rsidRPr="0065475A">
        <w:rPr>
          <w:sz w:val="28"/>
          <w:szCs w:val="28"/>
        </w:rPr>
        <w:lastRenderedPageBreak/>
        <w:br/>
        <w:t>The Tribunal's jurisprudence consistently rejected collective guilt. Criminal responsibility required proof that an accused personally committed crimes, ordered their commission, aided and abetted them, participated in a joint criminal enterprise, or incurred command responsibility by knowingly failing to prevent or punish crimes committed by subordinates.</w:t>
      </w:r>
      <w:r w:rsidR="009A5FBF">
        <w:rPr>
          <w:rStyle w:val="FootnoteReference"/>
          <w:sz w:val="28"/>
          <w:szCs w:val="28"/>
        </w:rPr>
        <w:footnoteReference w:id="7"/>
      </w:r>
      <w:r w:rsidRPr="0065475A">
        <w:rPr>
          <w:sz w:val="28"/>
          <w:szCs w:val="28"/>
        </w:rPr>
        <w:t xml:space="preserve"> </w:t>
      </w:r>
      <w:r w:rsidR="00E4329B">
        <w:rPr>
          <w:sz w:val="28"/>
          <w:szCs w:val="28"/>
        </w:rPr>
        <w:t>In addition, t</w:t>
      </w:r>
      <w:r w:rsidRPr="0065475A">
        <w:rPr>
          <w:sz w:val="28"/>
          <w:szCs w:val="28"/>
        </w:rPr>
        <w:t>he Rome Statute of the International Criminal Court recognizes individual criminal responsibility and command responsibility, continuing the same legal principles.</w:t>
      </w:r>
      <w:r w:rsidR="009A5FBF">
        <w:rPr>
          <w:rStyle w:val="FootnoteReference"/>
          <w:sz w:val="28"/>
          <w:szCs w:val="28"/>
        </w:rPr>
        <w:footnoteReference w:id="8"/>
      </w:r>
      <w:r w:rsidRPr="0065475A">
        <w:rPr>
          <w:sz w:val="28"/>
          <w:szCs w:val="28"/>
        </w:rPr>
        <w:t xml:space="preserve"> </w:t>
      </w:r>
    </w:p>
    <w:p w14:paraId="43ECFB56" w14:textId="77777777" w:rsidR="006F4932" w:rsidRPr="0065475A" w:rsidRDefault="00122E91" w:rsidP="00122E91">
      <w:pPr>
        <w:pStyle w:val="NormalWeb"/>
        <w:rPr>
          <w:sz w:val="28"/>
          <w:szCs w:val="28"/>
        </w:rPr>
      </w:pPr>
      <w:r w:rsidRPr="0065475A">
        <w:rPr>
          <w:sz w:val="28"/>
          <w:szCs w:val="28"/>
        </w:rPr>
        <w:br/>
        <w:t>The legal principles governing international criminal responsibility are therefore well established. They do not presume guilt because a person wore a particular uniform, belonged to a particular military organization, or fought on a particular side of a conflict. They require proof of individual criminal conduct. Those principles provide the appropriate legal framework for evaluating the actions of the Slovene Home Guard during the Second World War.</w:t>
      </w:r>
    </w:p>
    <w:p w14:paraId="52F4C907" w14:textId="0BB2A774" w:rsidR="006F4932" w:rsidRPr="0065475A" w:rsidRDefault="00122E91" w:rsidP="00122E91">
      <w:pPr>
        <w:pStyle w:val="NormalWeb"/>
        <w:rPr>
          <w:sz w:val="28"/>
          <w:szCs w:val="28"/>
        </w:rPr>
      </w:pPr>
      <w:r w:rsidRPr="0065475A">
        <w:rPr>
          <w:sz w:val="28"/>
          <w:szCs w:val="28"/>
        </w:rPr>
        <w:br/>
      </w:r>
      <w:r w:rsidR="00991041" w:rsidRPr="0065475A">
        <w:rPr>
          <w:sz w:val="28"/>
          <w:szCs w:val="28"/>
        </w:rPr>
        <w:t xml:space="preserve">These settled principles provide the framework for evaluating the Slovene Home Guard under international criminal law. </w:t>
      </w:r>
      <w:r w:rsidRPr="0065475A">
        <w:rPr>
          <w:sz w:val="28"/>
          <w:szCs w:val="28"/>
        </w:rPr>
        <w:t>The question is not whether the Home Guard opposed the Partisans, accepted German assistance, or operated under German occupation. Rather, the question is whether those facts, standing alone, constitute crimes under international law. The answer is no.</w:t>
      </w:r>
    </w:p>
    <w:p w14:paraId="511C5DB0" w14:textId="0469B2CC" w:rsidR="006F4932" w:rsidRPr="0065475A" w:rsidRDefault="00122E91" w:rsidP="00122E91">
      <w:pPr>
        <w:pStyle w:val="NormalWeb"/>
        <w:rPr>
          <w:sz w:val="28"/>
          <w:szCs w:val="28"/>
        </w:rPr>
      </w:pPr>
      <w:r w:rsidRPr="0065475A">
        <w:rPr>
          <w:sz w:val="28"/>
          <w:szCs w:val="28"/>
        </w:rPr>
        <w:br/>
        <w:t xml:space="preserve">Under the international law applicable during the Second World War, there was no rule prohibiting one organized armed force from fighting another </w:t>
      </w:r>
      <w:r w:rsidR="00215272">
        <w:rPr>
          <w:sz w:val="28"/>
          <w:szCs w:val="28"/>
        </w:rPr>
        <w:t>military</w:t>
      </w:r>
      <w:r w:rsidRPr="0065475A">
        <w:rPr>
          <w:sz w:val="28"/>
          <w:szCs w:val="28"/>
        </w:rPr>
        <w:t xml:space="preserve"> force during either an international or an internal armed conflict. The Hague Regulations did not criminalize participation in hostilities. Instead, they regulated the </w:t>
      </w:r>
      <w:proofErr w:type="gramStart"/>
      <w:r w:rsidRPr="0065475A">
        <w:rPr>
          <w:sz w:val="28"/>
          <w:szCs w:val="28"/>
        </w:rPr>
        <w:t>manner in which</w:t>
      </w:r>
      <w:proofErr w:type="gramEnd"/>
      <w:r w:rsidRPr="0065475A">
        <w:rPr>
          <w:sz w:val="28"/>
          <w:szCs w:val="28"/>
        </w:rPr>
        <w:t xml:space="preserve"> hostilities were conducted.</w:t>
      </w:r>
      <w:r w:rsidR="009A5FBF">
        <w:rPr>
          <w:rStyle w:val="FootnoteReference"/>
          <w:sz w:val="28"/>
          <w:szCs w:val="28"/>
        </w:rPr>
        <w:footnoteReference w:id="9"/>
      </w:r>
      <w:r w:rsidR="009A5FBF">
        <w:rPr>
          <w:sz w:val="28"/>
          <w:szCs w:val="28"/>
        </w:rPr>
        <w:t xml:space="preserve"> </w:t>
      </w:r>
      <w:r w:rsidRPr="0065475A">
        <w:rPr>
          <w:sz w:val="28"/>
          <w:szCs w:val="28"/>
        </w:rPr>
        <w:t>Likewise, the Charter of the International Military Tribunal defined war crimes as "violations of the laws or customs of war," not participation in military operations.</w:t>
      </w:r>
      <w:r w:rsidR="009A5FBF">
        <w:rPr>
          <w:rStyle w:val="FootnoteReference"/>
          <w:sz w:val="28"/>
          <w:szCs w:val="28"/>
        </w:rPr>
        <w:footnoteReference w:id="10"/>
      </w:r>
      <w:r w:rsidRPr="0065475A">
        <w:rPr>
          <w:sz w:val="28"/>
          <w:szCs w:val="28"/>
        </w:rPr>
        <w:t xml:space="preserve"> </w:t>
      </w:r>
    </w:p>
    <w:p w14:paraId="4CE2A892" w14:textId="77777777" w:rsidR="006F4932" w:rsidRPr="0065475A" w:rsidRDefault="00122E91" w:rsidP="00122E91">
      <w:pPr>
        <w:pStyle w:val="NormalWeb"/>
        <w:rPr>
          <w:sz w:val="28"/>
          <w:szCs w:val="28"/>
        </w:rPr>
      </w:pPr>
      <w:r w:rsidRPr="0065475A">
        <w:rPr>
          <w:sz w:val="28"/>
          <w:szCs w:val="28"/>
        </w:rPr>
        <w:br/>
        <w:t xml:space="preserve">This distinction between lawful </w:t>
      </w:r>
      <w:proofErr w:type="spellStart"/>
      <w:r w:rsidRPr="0065475A">
        <w:rPr>
          <w:sz w:val="28"/>
          <w:szCs w:val="28"/>
        </w:rPr>
        <w:t>combatancy</w:t>
      </w:r>
      <w:proofErr w:type="spellEnd"/>
      <w:r w:rsidRPr="0065475A">
        <w:rPr>
          <w:sz w:val="28"/>
          <w:szCs w:val="28"/>
        </w:rPr>
        <w:t xml:space="preserve"> and criminal conduct remains one of the central principles of international humanitarian law. Soldiers may lawfully </w:t>
      </w:r>
      <w:r w:rsidRPr="0065475A">
        <w:rPr>
          <w:sz w:val="28"/>
          <w:szCs w:val="28"/>
        </w:rPr>
        <w:lastRenderedPageBreak/>
        <w:t>fight opposing soldiers, defend military positions, gather intelligence, or participate in military operations. Those acts are not war crimes. War crimes arise only when combatants violate the laws and customs of war—for example, by murdering civilians, executing prisoners of war, torturing detainees, committing rape, deporting civilian populations, intentionally attacking civilian objects, or destroying property without military necessity.</w:t>
      </w:r>
    </w:p>
    <w:p w14:paraId="293B10DD" w14:textId="174B5805" w:rsidR="006F4932" w:rsidRPr="0065475A" w:rsidRDefault="00122E91" w:rsidP="00122E91">
      <w:pPr>
        <w:pStyle w:val="NormalWeb"/>
        <w:rPr>
          <w:sz w:val="28"/>
          <w:szCs w:val="28"/>
        </w:rPr>
      </w:pPr>
      <w:r w:rsidRPr="0065475A">
        <w:rPr>
          <w:sz w:val="28"/>
          <w:szCs w:val="28"/>
        </w:rPr>
        <w:br/>
      </w:r>
      <w:r w:rsidR="00991041" w:rsidRPr="0065475A">
        <w:rPr>
          <w:sz w:val="28"/>
          <w:szCs w:val="28"/>
        </w:rPr>
        <w:t>The legal consequence is significant. P</w:t>
      </w:r>
      <w:r w:rsidRPr="0065475A">
        <w:rPr>
          <w:sz w:val="28"/>
          <w:szCs w:val="28"/>
        </w:rPr>
        <w:t>articipation in military operations against the Partisans was not</w:t>
      </w:r>
      <w:proofErr w:type="gramStart"/>
      <w:r w:rsidRPr="0065475A">
        <w:rPr>
          <w:sz w:val="28"/>
          <w:szCs w:val="28"/>
        </w:rPr>
        <w:t>, in itself, an</w:t>
      </w:r>
      <w:proofErr w:type="gramEnd"/>
      <w:r w:rsidRPr="0065475A">
        <w:rPr>
          <w:sz w:val="28"/>
          <w:szCs w:val="28"/>
        </w:rPr>
        <w:t xml:space="preserve"> international crime. By 1943 and 1944, the Slovene Partisans constituted an armed </w:t>
      </w:r>
      <w:r w:rsidR="00215272">
        <w:rPr>
          <w:sz w:val="28"/>
          <w:szCs w:val="28"/>
        </w:rPr>
        <w:t>formation</w:t>
      </w:r>
      <w:r w:rsidRPr="0065475A">
        <w:rPr>
          <w:sz w:val="28"/>
          <w:szCs w:val="28"/>
        </w:rPr>
        <w:t xml:space="preserve"> possessing a command structure, military units, and the capacity to conduct sustained military operations. As such, Partisan </w:t>
      </w:r>
      <w:r w:rsidR="00991041" w:rsidRPr="0065475A">
        <w:rPr>
          <w:sz w:val="28"/>
          <w:szCs w:val="28"/>
        </w:rPr>
        <w:t xml:space="preserve">military </w:t>
      </w:r>
      <w:r w:rsidRPr="0065475A">
        <w:rPr>
          <w:sz w:val="28"/>
          <w:szCs w:val="28"/>
        </w:rPr>
        <w:t xml:space="preserve">units </w:t>
      </w:r>
      <w:r w:rsidR="00991041" w:rsidRPr="0065475A">
        <w:rPr>
          <w:sz w:val="28"/>
          <w:szCs w:val="28"/>
        </w:rPr>
        <w:t>engaged in hostilities constituted</w:t>
      </w:r>
      <w:r w:rsidRPr="0065475A">
        <w:rPr>
          <w:sz w:val="28"/>
          <w:szCs w:val="28"/>
        </w:rPr>
        <w:t xml:space="preserve"> legitimate military objectives, just as members of the Home Guard were legitimate military objectives for the Partisans. International humanitarian law regulates how such hostilities are conducted; it does not prohibit combat between </w:t>
      </w:r>
      <w:r w:rsidR="00215272">
        <w:rPr>
          <w:sz w:val="28"/>
          <w:szCs w:val="28"/>
        </w:rPr>
        <w:t>military organizations</w:t>
      </w:r>
      <w:r w:rsidRPr="0065475A">
        <w:rPr>
          <w:sz w:val="28"/>
          <w:szCs w:val="28"/>
        </w:rPr>
        <w:t>.</w:t>
      </w:r>
    </w:p>
    <w:p w14:paraId="32F03CE8" w14:textId="211530EE" w:rsidR="006F4932" w:rsidRPr="0065475A" w:rsidRDefault="00122E91" w:rsidP="00122E91">
      <w:pPr>
        <w:pStyle w:val="NormalWeb"/>
        <w:rPr>
          <w:sz w:val="28"/>
          <w:szCs w:val="28"/>
        </w:rPr>
      </w:pPr>
      <w:r w:rsidRPr="0065475A">
        <w:rPr>
          <w:sz w:val="28"/>
          <w:szCs w:val="28"/>
        </w:rPr>
        <w:br/>
        <w:t xml:space="preserve">Some commentators argue that the legal status of the Slovene Home Guard itself determines the issue. The question is more complicated. </w:t>
      </w:r>
      <w:r w:rsidR="00BE3ED2">
        <w:rPr>
          <w:sz w:val="28"/>
          <w:szCs w:val="28"/>
        </w:rPr>
        <w:t>The Yugoslav government-in-exile never officially recognized the Slovene Home Guard as it</w:t>
      </w:r>
      <w:r w:rsidR="00215272">
        <w:rPr>
          <w:sz w:val="28"/>
          <w:szCs w:val="28"/>
        </w:rPr>
        <w:t>s</w:t>
      </w:r>
      <w:r w:rsidR="00BE3ED2">
        <w:rPr>
          <w:sz w:val="28"/>
          <w:szCs w:val="28"/>
        </w:rPr>
        <w:t xml:space="preserve"> armed force, but many Home Guard leaders claimed loyalty to the King, and the January 1945 oath, ordered by the Slovene Legion, was explicitly to </w:t>
      </w:r>
      <w:r w:rsidR="001A0CE7">
        <w:rPr>
          <w:sz w:val="28"/>
          <w:szCs w:val="28"/>
        </w:rPr>
        <w:t>K</w:t>
      </w:r>
      <w:r w:rsidR="00BE3ED2">
        <w:rPr>
          <w:sz w:val="28"/>
          <w:szCs w:val="28"/>
        </w:rPr>
        <w:t xml:space="preserve">ing Peter II. The Home Guard was not formally incorporated into the armed forces of the Yugoslav government-in-exile. Rather, it functioned as an auxiliary military formation organized under the German occupation administration. </w:t>
      </w:r>
      <w:r w:rsidRPr="0065475A">
        <w:rPr>
          <w:sz w:val="28"/>
          <w:szCs w:val="28"/>
        </w:rPr>
        <w:t>Occupation law permitted an occupying power to take measures necessary to restore and maintain public order and civil life.</w:t>
      </w:r>
      <w:r w:rsidR="009A5FBF">
        <w:rPr>
          <w:rStyle w:val="FootnoteReference"/>
          <w:sz w:val="28"/>
          <w:szCs w:val="28"/>
        </w:rPr>
        <w:footnoteReference w:id="11"/>
      </w:r>
      <w:r w:rsidRPr="0065475A">
        <w:rPr>
          <w:sz w:val="28"/>
          <w:szCs w:val="28"/>
        </w:rPr>
        <w:t xml:space="preserve"> Whether the Home Guard exceeded the </w:t>
      </w:r>
      <w:r w:rsidR="00215272">
        <w:rPr>
          <w:sz w:val="28"/>
          <w:szCs w:val="28"/>
        </w:rPr>
        <w:t>authority</w:t>
      </w:r>
      <w:r w:rsidRPr="0065475A">
        <w:rPr>
          <w:sz w:val="28"/>
          <w:szCs w:val="28"/>
        </w:rPr>
        <w:t xml:space="preserve"> contemplated by occupation law remains a subject of historical and legal debate.</w:t>
      </w:r>
    </w:p>
    <w:p w14:paraId="2CC56D09" w14:textId="77777777" w:rsidR="006F4932" w:rsidRPr="0065475A" w:rsidRDefault="00122E91" w:rsidP="00122E91">
      <w:pPr>
        <w:pStyle w:val="NormalWeb"/>
        <w:rPr>
          <w:sz w:val="28"/>
          <w:szCs w:val="28"/>
        </w:rPr>
      </w:pPr>
      <w:r w:rsidRPr="0065475A">
        <w:rPr>
          <w:sz w:val="28"/>
          <w:szCs w:val="28"/>
        </w:rPr>
        <w:br/>
        <w:t>Fortunately, modern international criminal law does not require resolution of that debate before determining individual criminal responsibility. International tribunals do not ordinarily begin by asking whether an armed force itself was politically legitimate. Instead, they examine whether an accused individual committed internationally recognized crimes.</w:t>
      </w:r>
    </w:p>
    <w:p w14:paraId="46E258DC" w14:textId="00F02E19" w:rsidR="006F4932" w:rsidRPr="0065475A" w:rsidRDefault="00122E91" w:rsidP="00122E91">
      <w:pPr>
        <w:pStyle w:val="NormalWeb"/>
        <w:rPr>
          <w:sz w:val="28"/>
          <w:szCs w:val="28"/>
        </w:rPr>
      </w:pPr>
      <w:r w:rsidRPr="0065475A">
        <w:rPr>
          <w:sz w:val="28"/>
          <w:szCs w:val="28"/>
        </w:rPr>
        <w:br/>
        <w:t xml:space="preserve">The Home Guard possessed many of the characteristics ordinarily associated with </w:t>
      </w:r>
      <w:r w:rsidRPr="0065475A">
        <w:rPr>
          <w:sz w:val="28"/>
          <w:szCs w:val="28"/>
        </w:rPr>
        <w:lastRenderedPageBreak/>
        <w:t>an organized armed force. It maintained a formal command structure, wore uniforms and insignia, openly carried arms, and conducted organized military operations. These characteristics support treating it as a</w:t>
      </w:r>
      <w:r w:rsidR="00215272">
        <w:rPr>
          <w:sz w:val="28"/>
          <w:szCs w:val="28"/>
        </w:rPr>
        <w:t xml:space="preserve"> military</w:t>
      </w:r>
      <w:r w:rsidRPr="0065475A">
        <w:rPr>
          <w:sz w:val="28"/>
          <w:szCs w:val="28"/>
        </w:rPr>
        <w:t xml:space="preserve"> force for purposes of applying the law of armed conflict, regardless of continuing historical disagreement concerning its constitutional or political legitimacy.</w:t>
      </w:r>
    </w:p>
    <w:p w14:paraId="33980319" w14:textId="64834494" w:rsidR="006F4932" w:rsidRPr="0065475A" w:rsidRDefault="00122E91" w:rsidP="00122E91">
      <w:pPr>
        <w:pStyle w:val="NormalWeb"/>
        <w:rPr>
          <w:sz w:val="28"/>
          <w:szCs w:val="28"/>
        </w:rPr>
      </w:pPr>
      <w:r w:rsidRPr="0065475A">
        <w:rPr>
          <w:sz w:val="28"/>
          <w:szCs w:val="28"/>
        </w:rPr>
        <w:br/>
        <w:t>Critics also emphasize that many members of the Home Guard took an oath required by the German occupation authorities beginning in April 1944.</w:t>
      </w:r>
      <w:r w:rsidR="009A5FBF">
        <w:rPr>
          <w:rStyle w:val="FootnoteReference"/>
          <w:sz w:val="28"/>
          <w:szCs w:val="28"/>
        </w:rPr>
        <w:footnoteReference w:id="12"/>
      </w:r>
      <w:r w:rsidRPr="0065475A">
        <w:rPr>
          <w:sz w:val="28"/>
          <w:szCs w:val="28"/>
        </w:rPr>
        <w:t xml:space="preserve"> That fact has frequently been cited as evidence of collaboration. Defenders note that the Home Guard had previously sworn allegiance to the Kingdom of Yugoslavia and again reaffirmed that allegiance in January 1945.</w:t>
      </w:r>
      <w:r w:rsidR="00297A97">
        <w:rPr>
          <w:rStyle w:val="FootnoteReference"/>
          <w:sz w:val="28"/>
          <w:szCs w:val="28"/>
        </w:rPr>
        <w:footnoteReference w:id="13"/>
      </w:r>
      <w:r w:rsidRPr="0065475A">
        <w:rPr>
          <w:sz w:val="28"/>
          <w:szCs w:val="28"/>
        </w:rPr>
        <w:t xml:space="preserve"> Whatever historical significance those competing facts may </w:t>
      </w:r>
      <w:r w:rsidR="00590081">
        <w:rPr>
          <w:sz w:val="28"/>
          <w:szCs w:val="28"/>
        </w:rPr>
        <w:t>have</w:t>
      </w:r>
      <w:r w:rsidRPr="0065475A">
        <w:rPr>
          <w:sz w:val="28"/>
          <w:szCs w:val="28"/>
        </w:rPr>
        <w:t>, they do not themselves establish criminal liability under international law.</w:t>
      </w:r>
    </w:p>
    <w:p w14:paraId="2C1C6618" w14:textId="105EF4DD" w:rsidR="006F4932" w:rsidRPr="0065475A" w:rsidRDefault="00122E91" w:rsidP="00122E91">
      <w:pPr>
        <w:pStyle w:val="NormalWeb"/>
        <w:rPr>
          <w:sz w:val="28"/>
          <w:szCs w:val="28"/>
        </w:rPr>
      </w:pPr>
      <w:r w:rsidRPr="0065475A">
        <w:rPr>
          <w:sz w:val="28"/>
          <w:szCs w:val="28"/>
        </w:rPr>
        <w:br/>
        <w:t>Neither the Hague Regulations, the Nuremberg Charter, nor subsequent international criminal jurisprudence recognizes collaboration with an occupying power, standing alone,</w:t>
      </w:r>
      <w:r w:rsidR="003964B7" w:rsidRPr="0065475A">
        <w:rPr>
          <w:sz w:val="28"/>
          <w:szCs w:val="28"/>
        </w:rPr>
        <w:t xml:space="preserve"> without accompanying criminal conduct,</w:t>
      </w:r>
      <w:r w:rsidRPr="0065475A">
        <w:rPr>
          <w:sz w:val="28"/>
          <w:szCs w:val="28"/>
        </w:rPr>
        <w:t xml:space="preserve"> as an international crime. Criminal responsibility depended upon participation in recognized offenses such as murder, persecution, torture, unlawful executions, deportation, or other violations of the laws and customs of war. The Nuremberg Tribunal did not hold that membership in every military or auxiliary formation cooperating with Germany was inherently criminal. Rather, criminal liability rested upon proof of individual conduct or, in the case of organizations declared criminal, proof that a defendant knowingly participated in the organization's criminal purposes.</w:t>
      </w:r>
    </w:p>
    <w:p w14:paraId="126E58F9" w14:textId="59654E78" w:rsidR="006F4932" w:rsidRPr="0065475A" w:rsidRDefault="00122E91" w:rsidP="00122E91">
      <w:pPr>
        <w:pStyle w:val="NormalWeb"/>
        <w:rPr>
          <w:sz w:val="28"/>
          <w:szCs w:val="28"/>
        </w:rPr>
      </w:pPr>
      <w:r w:rsidRPr="0065475A">
        <w:rPr>
          <w:sz w:val="28"/>
          <w:szCs w:val="28"/>
        </w:rPr>
        <w:br/>
        <w:t xml:space="preserve">The same </w:t>
      </w:r>
      <w:r w:rsidR="003964B7" w:rsidRPr="0065475A">
        <w:rPr>
          <w:sz w:val="28"/>
          <w:szCs w:val="28"/>
        </w:rPr>
        <w:t xml:space="preserve">legal </w:t>
      </w:r>
      <w:r w:rsidRPr="0065475A">
        <w:rPr>
          <w:sz w:val="28"/>
          <w:szCs w:val="28"/>
        </w:rPr>
        <w:t xml:space="preserve">analysis applies to the Slovene Home Guard. There is credible historical evidence that certain members participated in unlawful killings, torture, or other crimes committed during the occupation. Individuals who committed such acts could properly incur criminal responsibility under internationally recognized principles of law. </w:t>
      </w:r>
      <w:r w:rsidR="00E4329B">
        <w:rPr>
          <w:sz w:val="28"/>
          <w:szCs w:val="28"/>
        </w:rPr>
        <w:t>Moreover</w:t>
      </w:r>
      <w:r w:rsidRPr="0065475A">
        <w:rPr>
          <w:sz w:val="28"/>
          <w:szCs w:val="28"/>
        </w:rPr>
        <w:t>, commanders who knowingly ordered, permitted, or failed to punish such crimes could incur responsibility under the doctrine of command responsibility.</w:t>
      </w:r>
      <w:r w:rsidR="00297A97">
        <w:rPr>
          <w:rStyle w:val="FootnoteReference"/>
          <w:sz w:val="28"/>
          <w:szCs w:val="28"/>
        </w:rPr>
        <w:footnoteReference w:id="14"/>
      </w:r>
      <w:r w:rsidRPr="0065475A">
        <w:rPr>
          <w:sz w:val="28"/>
          <w:szCs w:val="28"/>
        </w:rPr>
        <w:t xml:space="preserve"> </w:t>
      </w:r>
    </w:p>
    <w:p w14:paraId="00A80EA8" w14:textId="77777777" w:rsidR="006F4932" w:rsidRPr="0065475A" w:rsidRDefault="00122E91" w:rsidP="00122E91">
      <w:pPr>
        <w:pStyle w:val="NormalWeb"/>
        <w:rPr>
          <w:sz w:val="28"/>
          <w:szCs w:val="28"/>
        </w:rPr>
      </w:pPr>
      <w:r w:rsidRPr="0065475A">
        <w:rPr>
          <w:sz w:val="28"/>
          <w:szCs w:val="28"/>
        </w:rPr>
        <w:lastRenderedPageBreak/>
        <w:br/>
        <w:t>That conclusion, however, cannot be extended to every member of the organization. Modern international criminal law rejects guilt by association. It rejects guilt based upon political affiliation. It rejects guilt based solely upon membership in a military organization. The governing principle has remained remarkably consistent from the Hague Regulations through Nuremberg, the Geneva Conventions, the ICTY, and the Rome Statute: criminal responsibility is individual.</w:t>
      </w:r>
    </w:p>
    <w:p w14:paraId="1D43C3BC" w14:textId="77777777" w:rsidR="006F4932" w:rsidRPr="0065475A" w:rsidRDefault="00122E91" w:rsidP="00122E91">
      <w:pPr>
        <w:pStyle w:val="NormalWeb"/>
        <w:rPr>
          <w:sz w:val="28"/>
          <w:szCs w:val="28"/>
        </w:rPr>
      </w:pPr>
      <w:r w:rsidRPr="0065475A">
        <w:rPr>
          <w:sz w:val="28"/>
          <w:szCs w:val="28"/>
        </w:rPr>
        <w:br/>
        <w:t>Accordingly, under the principles recognized by contemporary international criminal law, neither membership in the Slovene Home Guard, acceptance of German weapons, cooperation with German occupation authorities, nor participation in military operations against the Partisans would, standing alone, establish criminal responsibility. A lawful prosecution would require proof that a particular individual personally committed, ordered, assisted, or otherwise incurred responsibility for recognized international crimes.</w:t>
      </w:r>
    </w:p>
    <w:p w14:paraId="6915EEB4" w14:textId="4A46E81F" w:rsidR="00122E91" w:rsidRPr="0065475A" w:rsidRDefault="00122E91" w:rsidP="00122E91">
      <w:pPr>
        <w:pStyle w:val="NormalWeb"/>
        <w:rPr>
          <w:sz w:val="28"/>
          <w:szCs w:val="28"/>
        </w:rPr>
      </w:pPr>
      <w:r w:rsidRPr="0065475A">
        <w:rPr>
          <w:sz w:val="28"/>
          <w:szCs w:val="28"/>
        </w:rPr>
        <w:br/>
        <w:t xml:space="preserve">This conclusion neither absolves nor condemns the Slovene Home Guard as an institution. It simply </w:t>
      </w:r>
      <w:proofErr w:type="gramStart"/>
      <w:r w:rsidRPr="0065475A">
        <w:rPr>
          <w:sz w:val="28"/>
          <w:szCs w:val="28"/>
        </w:rPr>
        <w:t>applies</w:t>
      </w:r>
      <w:proofErr w:type="gramEnd"/>
      <w:r w:rsidRPr="0065475A">
        <w:rPr>
          <w:sz w:val="28"/>
          <w:szCs w:val="28"/>
        </w:rPr>
        <w:t xml:space="preserve"> the same legal principles that modern international tribunals have applied to every armed conflict since the Second World War. Those principles require that individuals be judged for what they did, not merely for the uniform they wore. That rejection of collective guilt remains one of the defining achievements of modern international criminal law.</w:t>
      </w:r>
    </w:p>
    <w:p w14:paraId="6B95AD2A" w14:textId="77777777" w:rsidR="002542E7" w:rsidRDefault="002542E7"/>
    <w:sectPr w:rsidR="002542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18A9" w14:textId="77777777" w:rsidR="000A36BE" w:rsidRDefault="000A36BE" w:rsidP="00036C09">
      <w:pPr>
        <w:spacing w:after="0" w:line="240" w:lineRule="auto"/>
      </w:pPr>
      <w:r>
        <w:separator/>
      </w:r>
    </w:p>
  </w:endnote>
  <w:endnote w:type="continuationSeparator" w:id="0">
    <w:p w14:paraId="3F53C64E" w14:textId="77777777" w:rsidR="000A36BE" w:rsidRDefault="000A36BE" w:rsidP="00036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C49A" w14:textId="2F703BE4" w:rsidR="008252DB" w:rsidRDefault="008252DB">
    <w:pPr>
      <w:pStyle w:val="Footer"/>
    </w:pPr>
    <w:r>
      <w:t xml:space="preserve">Copyright Maria Velikonja 2026 </w:t>
    </w:r>
  </w:p>
  <w:p w14:paraId="77A01B29" w14:textId="77777777" w:rsidR="008252DB" w:rsidRDefault="00825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EDDD" w14:textId="77777777" w:rsidR="000A36BE" w:rsidRDefault="000A36BE" w:rsidP="00036C09">
      <w:pPr>
        <w:spacing w:after="0" w:line="240" w:lineRule="auto"/>
      </w:pPr>
      <w:r>
        <w:separator/>
      </w:r>
    </w:p>
  </w:footnote>
  <w:footnote w:type="continuationSeparator" w:id="0">
    <w:p w14:paraId="76B42FDB" w14:textId="77777777" w:rsidR="000A36BE" w:rsidRDefault="000A36BE" w:rsidP="00036C09">
      <w:pPr>
        <w:spacing w:after="0" w:line="240" w:lineRule="auto"/>
      </w:pPr>
      <w:r>
        <w:continuationSeparator/>
      </w:r>
    </w:p>
  </w:footnote>
  <w:footnote w:id="1">
    <w:p w14:paraId="74A603A2" w14:textId="7D23D9D7" w:rsidR="00036C09" w:rsidRPr="00036C09" w:rsidRDefault="00036C09">
      <w:pPr>
        <w:pStyle w:val="FootnoteText"/>
      </w:pPr>
      <w:r>
        <w:rPr>
          <w:rStyle w:val="FootnoteReference"/>
        </w:rPr>
        <w:footnoteRef/>
      </w:r>
      <w:r>
        <w:t xml:space="preserve"> </w:t>
      </w:r>
      <w:r w:rsidRPr="00036C09">
        <w:t>Hague Convention (IV) Respecting the Laws and Customs of War on Land, Annex, art. 1, Oct. 18, 1907</w:t>
      </w:r>
    </w:p>
  </w:footnote>
  <w:footnote w:id="2">
    <w:p w14:paraId="20D81C55" w14:textId="360A3687" w:rsidR="00036C09" w:rsidRPr="00036C09" w:rsidRDefault="00036C09">
      <w:pPr>
        <w:pStyle w:val="FootnoteText"/>
      </w:pPr>
      <w:r>
        <w:rPr>
          <w:rStyle w:val="FootnoteReference"/>
        </w:rPr>
        <w:footnoteRef/>
      </w:r>
      <w:r>
        <w:t xml:space="preserve"> </w:t>
      </w:r>
      <w:r w:rsidRPr="00036C09">
        <w:t>Hague Convention (IV) Respecting the Laws and Customs of War on Land, Annex, art. 1, Oct. 18, 1907</w:t>
      </w:r>
      <w:r>
        <w:t>, Art. 43.</w:t>
      </w:r>
    </w:p>
  </w:footnote>
  <w:footnote w:id="3">
    <w:p w14:paraId="2CBCACD0" w14:textId="2A30560B" w:rsidR="00036C09" w:rsidRDefault="00036C09">
      <w:pPr>
        <w:pStyle w:val="FootnoteText"/>
      </w:pPr>
      <w:r>
        <w:rPr>
          <w:rStyle w:val="FootnoteReference"/>
        </w:rPr>
        <w:footnoteRef/>
      </w:r>
      <w:r>
        <w:t xml:space="preserve"> </w:t>
      </w:r>
      <w:r w:rsidRPr="00036C09">
        <w:t>Geneva Convention Relative to the Treatment of Prisoners of War art. 4, Aug. 12, 1949.</w:t>
      </w:r>
    </w:p>
  </w:footnote>
  <w:footnote w:id="4">
    <w:p w14:paraId="72BBB8AC" w14:textId="5B240D2E" w:rsidR="00036C09" w:rsidRDefault="00036C09">
      <w:pPr>
        <w:pStyle w:val="FootnoteText"/>
      </w:pPr>
      <w:r>
        <w:rPr>
          <w:rStyle w:val="FootnoteReference"/>
        </w:rPr>
        <w:footnoteRef/>
      </w:r>
      <w:r>
        <w:t xml:space="preserve"> </w:t>
      </w:r>
      <w:r w:rsidRPr="00036C09">
        <w:t>Charter of the International Military Tribunal art. 6(b), Aug. 8, 1945, 82 U.N.T.S. 279.</w:t>
      </w:r>
    </w:p>
  </w:footnote>
  <w:footnote w:id="5">
    <w:p w14:paraId="306C9883" w14:textId="75B72D90" w:rsidR="00036C09" w:rsidRDefault="00036C09">
      <w:pPr>
        <w:pStyle w:val="FootnoteText"/>
      </w:pPr>
      <w:r>
        <w:rPr>
          <w:rStyle w:val="FootnoteReference"/>
        </w:rPr>
        <w:footnoteRef/>
      </w:r>
      <w:r>
        <w:t xml:space="preserve"> </w:t>
      </w:r>
      <w:r w:rsidRPr="00036C09">
        <w:t>Judgment, International Military Tribunal, in 1 Trial of the Major War Criminals Before the International Military Tribunal 171, 256–78 (1947); Telford Taylor, The Anatomy of the Nuremberg Trials: A Personal Memoir 538–39 (1992).</w:t>
      </w:r>
    </w:p>
  </w:footnote>
  <w:footnote w:id="6">
    <w:p w14:paraId="2CFCBEC3" w14:textId="683DDCE2" w:rsidR="00036C09" w:rsidRDefault="00036C09">
      <w:pPr>
        <w:pStyle w:val="FootnoteText"/>
      </w:pPr>
      <w:r>
        <w:rPr>
          <w:rStyle w:val="FootnoteReference"/>
        </w:rPr>
        <w:footnoteRef/>
      </w:r>
      <w:r>
        <w:t xml:space="preserve"> </w:t>
      </w:r>
      <w:r w:rsidRPr="00036C09">
        <w:t>Agreement for the Prosecution and Punishment of the Major War Criminals of the European Axis art. 9, Aug. 8, 1945, 82 U.N.T.S. 279; Judgment, International Military Tribunal, in 1 Trial of the Major War Criminals Before the International Military Tribunal 171, 256–78 (1947).</w:t>
      </w:r>
    </w:p>
  </w:footnote>
  <w:footnote w:id="7">
    <w:p w14:paraId="42175763" w14:textId="11051C71" w:rsidR="009A5FBF" w:rsidRDefault="009A5FBF">
      <w:pPr>
        <w:pStyle w:val="FootnoteText"/>
      </w:pPr>
      <w:r>
        <w:rPr>
          <w:rStyle w:val="FootnoteReference"/>
        </w:rPr>
        <w:footnoteRef/>
      </w:r>
      <w:r>
        <w:t xml:space="preserve"> </w:t>
      </w:r>
      <w:r w:rsidRPr="009A5FBF">
        <w:t xml:space="preserve">See, e.g., Prosecutor v. Tadić, Decision on the </w:t>
      </w:r>
      <w:proofErr w:type="spellStart"/>
      <w:r w:rsidRPr="009A5FBF">
        <w:t>Defence</w:t>
      </w:r>
      <w:proofErr w:type="spellEnd"/>
      <w:r w:rsidRPr="009A5FBF">
        <w:t xml:space="preserve"> Motion for Interlocutory Appeal on Jurisdiction (ICTY Appeals Chamber, 1995); Prosecutor v. Delalić et al. (</w:t>
      </w:r>
      <w:proofErr w:type="spellStart"/>
      <w:r w:rsidRPr="009A5FBF">
        <w:t>Čelebići</w:t>
      </w:r>
      <w:proofErr w:type="spellEnd"/>
      <w:r w:rsidRPr="009A5FBF">
        <w:t>), Judgment (ICTY Trial Chamber, 1998).</w:t>
      </w:r>
    </w:p>
  </w:footnote>
  <w:footnote w:id="8">
    <w:p w14:paraId="79D3AD3C" w14:textId="03104701" w:rsidR="009A5FBF" w:rsidRDefault="009A5FBF">
      <w:pPr>
        <w:pStyle w:val="FootnoteText"/>
      </w:pPr>
      <w:r>
        <w:rPr>
          <w:rStyle w:val="FootnoteReference"/>
        </w:rPr>
        <w:footnoteRef/>
      </w:r>
      <w:r>
        <w:t xml:space="preserve"> </w:t>
      </w:r>
      <w:r w:rsidRPr="009A5FBF">
        <w:t>Rome Statute arts. 25, 28.</w:t>
      </w:r>
    </w:p>
  </w:footnote>
  <w:footnote w:id="9">
    <w:p w14:paraId="1D3ED145" w14:textId="606DFC7F" w:rsidR="009A5FBF" w:rsidRDefault="009A5FBF">
      <w:pPr>
        <w:pStyle w:val="FootnoteText"/>
      </w:pPr>
      <w:r>
        <w:rPr>
          <w:rStyle w:val="FootnoteReference"/>
        </w:rPr>
        <w:footnoteRef/>
      </w:r>
      <w:r>
        <w:t xml:space="preserve"> </w:t>
      </w:r>
      <w:r w:rsidRPr="009A5FBF">
        <w:t>Hague Convention (IV), Annex arts. 1–56 (1907).</w:t>
      </w:r>
    </w:p>
  </w:footnote>
  <w:footnote w:id="10">
    <w:p w14:paraId="113D0CAB" w14:textId="144CC17D" w:rsidR="009A5FBF" w:rsidRDefault="009A5FBF">
      <w:pPr>
        <w:pStyle w:val="FootnoteText"/>
      </w:pPr>
      <w:r>
        <w:rPr>
          <w:rStyle w:val="FootnoteReference"/>
        </w:rPr>
        <w:footnoteRef/>
      </w:r>
      <w:r>
        <w:t xml:space="preserve"> </w:t>
      </w:r>
      <w:r w:rsidRPr="009A5FBF">
        <w:t>Charter of the International Military Tribunal art. 6(b).</w:t>
      </w:r>
    </w:p>
  </w:footnote>
  <w:footnote w:id="11">
    <w:p w14:paraId="6C7AC055" w14:textId="69D4593C" w:rsidR="009A5FBF" w:rsidRDefault="009A5FBF">
      <w:pPr>
        <w:pStyle w:val="FootnoteText"/>
      </w:pPr>
      <w:r>
        <w:rPr>
          <w:rStyle w:val="FootnoteReference"/>
        </w:rPr>
        <w:footnoteRef/>
      </w:r>
      <w:r>
        <w:t xml:space="preserve"> </w:t>
      </w:r>
      <w:r w:rsidRPr="009A5FBF">
        <w:t>Hague Convention (IV), Annex art. 43.</w:t>
      </w:r>
    </w:p>
  </w:footnote>
  <w:footnote w:id="12">
    <w:p w14:paraId="7513F362" w14:textId="6662FEDC" w:rsidR="009A5FBF" w:rsidRDefault="009A5FBF">
      <w:pPr>
        <w:pStyle w:val="FootnoteText"/>
      </w:pPr>
      <w:r>
        <w:rPr>
          <w:rStyle w:val="FootnoteReference"/>
        </w:rPr>
        <w:footnoteRef/>
      </w:r>
      <w:r>
        <w:t xml:space="preserve"> The SNVZ/Littoral Home Guard did not take the oath to Germany; only to the Kingdom of Yugoslavia.</w:t>
      </w:r>
    </w:p>
  </w:footnote>
  <w:footnote w:id="13">
    <w:p w14:paraId="1A036658" w14:textId="44B3CF7A" w:rsidR="00297A97" w:rsidRDefault="00297A97">
      <w:pPr>
        <w:pStyle w:val="FootnoteText"/>
      </w:pPr>
      <w:r>
        <w:rPr>
          <w:rStyle w:val="FootnoteReference"/>
        </w:rPr>
        <w:footnoteRef/>
      </w:r>
      <w:r>
        <w:t xml:space="preserve"> The Slovene Home Guard oath to the Kingdom of Yugoslavia was required by the Slovene Legion, not the Home Guard itself.</w:t>
      </w:r>
    </w:p>
  </w:footnote>
  <w:footnote w:id="14">
    <w:p w14:paraId="2DD347F5" w14:textId="3BDFECCD" w:rsidR="00297A97" w:rsidRDefault="00297A97">
      <w:pPr>
        <w:pStyle w:val="FootnoteText"/>
      </w:pPr>
      <w:r>
        <w:rPr>
          <w:rStyle w:val="FootnoteReference"/>
        </w:rPr>
        <w:footnoteRef/>
      </w:r>
      <w:r>
        <w:t xml:space="preserve"> </w:t>
      </w:r>
      <w:r w:rsidRPr="00297A97">
        <w:t>See Prosecutor v. Delalić et al. (</w:t>
      </w:r>
      <w:proofErr w:type="spellStart"/>
      <w:r w:rsidRPr="00297A97">
        <w:t>Čelebići</w:t>
      </w:r>
      <w:proofErr w:type="spellEnd"/>
      <w:r w:rsidRPr="00297A97">
        <w:t>), Judgment (ICTY Trial Chamber, 1998); Rome Statute of the International Criminal Court arts. 25, 28.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91"/>
    <w:rsid w:val="00036C09"/>
    <w:rsid w:val="000A36BE"/>
    <w:rsid w:val="00122E91"/>
    <w:rsid w:val="001A0CE7"/>
    <w:rsid w:val="00215272"/>
    <w:rsid w:val="002542E7"/>
    <w:rsid w:val="00255604"/>
    <w:rsid w:val="00297A97"/>
    <w:rsid w:val="003964B7"/>
    <w:rsid w:val="003A5774"/>
    <w:rsid w:val="00462C01"/>
    <w:rsid w:val="005710B3"/>
    <w:rsid w:val="00590081"/>
    <w:rsid w:val="00607923"/>
    <w:rsid w:val="0065475A"/>
    <w:rsid w:val="006A674A"/>
    <w:rsid w:val="006F4932"/>
    <w:rsid w:val="0076071D"/>
    <w:rsid w:val="008252DB"/>
    <w:rsid w:val="00957E18"/>
    <w:rsid w:val="00991041"/>
    <w:rsid w:val="009A5FBF"/>
    <w:rsid w:val="00A27781"/>
    <w:rsid w:val="00A77E4D"/>
    <w:rsid w:val="00AB3FB1"/>
    <w:rsid w:val="00BE3ED2"/>
    <w:rsid w:val="00CE0161"/>
    <w:rsid w:val="00E04967"/>
    <w:rsid w:val="00E4329B"/>
    <w:rsid w:val="00EC4B8B"/>
    <w:rsid w:val="00EC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A32B1"/>
  <w15:chartTrackingRefBased/>
  <w15:docId w15:val="{0FA27DAB-3C6E-4699-9058-67A92799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E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E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E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E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E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E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E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E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E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E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E91"/>
    <w:rPr>
      <w:rFonts w:eastAsiaTheme="majorEastAsia" w:cstheme="majorBidi"/>
      <w:color w:val="272727" w:themeColor="text1" w:themeTint="D8"/>
    </w:rPr>
  </w:style>
  <w:style w:type="paragraph" w:styleId="Title">
    <w:name w:val="Title"/>
    <w:basedOn w:val="Normal"/>
    <w:next w:val="Normal"/>
    <w:link w:val="TitleChar"/>
    <w:uiPriority w:val="10"/>
    <w:qFormat/>
    <w:rsid w:val="00122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E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E91"/>
    <w:pPr>
      <w:spacing w:before="160"/>
      <w:jc w:val="center"/>
    </w:pPr>
    <w:rPr>
      <w:i/>
      <w:iCs/>
      <w:color w:val="404040" w:themeColor="text1" w:themeTint="BF"/>
    </w:rPr>
  </w:style>
  <w:style w:type="character" w:customStyle="1" w:styleId="QuoteChar">
    <w:name w:val="Quote Char"/>
    <w:basedOn w:val="DefaultParagraphFont"/>
    <w:link w:val="Quote"/>
    <w:uiPriority w:val="29"/>
    <w:rsid w:val="00122E91"/>
    <w:rPr>
      <w:i/>
      <w:iCs/>
      <w:color w:val="404040" w:themeColor="text1" w:themeTint="BF"/>
    </w:rPr>
  </w:style>
  <w:style w:type="paragraph" w:styleId="ListParagraph">
    <w:name w:val="List Paragraph"/>
    <w:basedOn w:val="Normal"/>
    <w:uiPriority w:val="34"/>
    <w:qFormat/>
    <w:rsid w:val="00122E91"/>
    <w:pPr>
      <w:ind w:left="720"/>
      <w:contextualSpacing/>
    </w:pPr>
  </w:style>
  <w:style w:type="character" w:styleId="IntenseEmphasis">
    <w:name w:val="Intense Emphasis"/>
    <w:basedOn w:val="DefaultParagraphFont"/>
    <w:uiPriority w:val="21"/>
    <w:qFormat/>
    <w:rsid w:val="00122E91"/>
    <w:rPr>
      <w:i/>
      <w:iCs/>
      <w:color w:val="0F4761" w:themeColor="accent1" w:themeShade="BF"/>
    </w:rPr>
  </w:style>
  <w:style w:type="paragraph" w:styleId="IntenseQuote">
    <w:name w:val="Intense Quote"/>
    <w:basedOn w:val="Normal"/>
    <w:next w:val="Normal"/>
    <w:link w:val="IntenseQuoteChar"/>
    <w:uiPriority w:val="30"/>
    <w:qFormat/>
    <w:rsid w:val="00122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E91"/>
    <w:rPr>
      <w:i/>
      <w:iCs/>
      <w:color w:val="0F4761" w:themeColor="accent1" w:themeShade="BF"/>
    </w:rPr>
  </w:style>
  <w:style w:type="character" w:styleId="IntenseReference">
    <w:name w:val="Intense Reference"/>
    <w:basedOn w:val="DefaultParagraphFont"/>
    <w:uiPriority w:val="32"/>
    <w:qFormat/>
    <w:rsid w:val="00122E91"/>
    <w:rPr>
      <w:b/>
      <w:bCs/>
      <w:smallCaps/>
      <w:color w:val="0F4761" w:themeColor="accent1" w:themeShade="BF"/>
      <w:spacing w:val="5"/>
    </w:rPr>
  </w:style>
  <w:style w:type="paragraph" w:styleId="NormalWeb">
    <w:name w:val="Normal (Web)"/>
    <w:basedOn w:val="Normal"/>
    <w:uiPriority w:val="99"/>
    <w:semiHidden/>
    <w:unhideWhenUsed/>
    <w:rsid w:val="00122E9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036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6C09"/>
    <w:rPr>
      <w:sz w:val="20"/>
      <w:szCs w:val="20"/>
    </w:rPr>
  </w:style>
  <w:style w:type="character" w:styleId="FootnoteReference">
    <w:name w:val="footnote reference"/>
    <w:basedOn w:val="DefaultParagraphFont"/>
    <w:uiPriority w:val="99"/>
    <w:semiHidden/>
    <w:unhideWhenUsed/>
    <w:rsid w:val="00036C09"/>
    <w:rPr>
      <w:vertAlign w:val="superscript"/>
    </w:rPr>
  </w:style>
  <w:style w:type="character" w:styleId="Hyperlink">
    <w:name w:val="Hyperlink"/>
    <w:basedOn w:val="DefaultParagraphFont"/>
    <w:uiPriority w:val="99"/>
    <w:unhideWhenUsed/>
    <w:rsid w:val="003A5774"/>
    <w:rPr>
      <w:color w:val="467886" w:themeColor="hyperlink"/>
      <w:u w:val="single"/>
    </w:rPr>
  </w:style>
  <w:style w:type="character" w:styleId="UnresolvedMention">
    <w:name w:val="Unresolved Mention"/>
    <w:basedOn w:val="DefaultParagraphFont"/>
    <w:uiPriority w:val="99"/>
    <w:semiHidden/>
    <w:unhideWhenUsed/>
    <w:rsid w:val="003A5774"/>
    <w:rPr>
      <w:color w:val="605E5C"/>
      <w:shd w:val="clear" w:color="auto" w:fill="E1DFDD"/>
    </w:rPr>
  </w:style>
  <w:style w:type="character" w:styleId="Emphasis">
    <w:name w:val="Emphasis"/>
    <w:basedOn w:val="DefaultParagraphFont"/>
    <w:uiPriority w:val="20"/>
    <w:qFormat/>
    <w:rsid w:val="003A5774"/>
    <w:rPr>
      <w:i/>
      <w:iCs/>
    </w:rPr>
  </w:style>
  <w:style w:type="paragraph" w:styleId="Header">
    <w:name w:val="header"/>
    <w:basedOn w:val="Normal"/>
    <w:link w:val="HeaderChar"/>
    <w:uiPriority w:val="99"/>
    <w:unhideWhenUsed/>
    <w:rsid w:val="008252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2DB"/>
  </w:style>
  <w:style w:type="paragraph" w:styleId="Footer">
    <w:name w:val="footer"/>
    <w:basedOn w:val="Normal"/>
    <w:link w:val="FooterChar"/>
    <w:uiPriority w:val="99"/>
    <w:unhideWhenUsed/>
    <w:rsid w:val="008252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lanincapres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4CF53-DE16-4A71-8D30-C4272B2D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2360</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Velikonja</dc:creator>
  <cp:keywords/>
  <dc:description/>
  <cp:lastModifiedBy>Maria Velikonja</cp:lastModifiedBy>
  <cp:revision>2</cp:revision>
  <cp:lastPrinted>2026-06-28T20:11:00Z</cp:lastPrinted>
  <dcterms:created xsi:type="dcterms:W3CDTF">2026-07-28T20:42:00Z</dcterms:created>
  <dcterms:modified xsi:type="dcterms:W3CDTF">2026-07-28T20:42:00Z</dcterms:modified>
</cp:coreProperties>
</file>